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4D8CC51B"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w:t>
      </w:r>
      <w:r w:rsidR="00243CE9" w:rsidRPr="00243CE9">
        <w:rPr>
          <w:rFonts w:ascii="Book Antiqua" w:hAnsi="Book Antiqua" w:cs="Arial"/>
          <w:b/>
          <w:bCs/>
          <w:color w:val="365F91" w:themeColor="accent1" w:themeShade="BF"/>
          <w:sz w:val="22"/>
          <w:szCs w:val="22"/>
        </w:rPr>
        <w:t xml:space="preserve">Augmentation at </w:t>
      </w:r>
      <w:proofErr w:type="spellStart"/>
      <w:r w:rsidR="00243CE9" w:rsidRPr="00243CE9">
        <w:rPr>
          <w:rFonts w:ascii="Book Antiqua" w:hAnsi="Book Antiqua" w:cs="Arial"/>
          <w:b/>
          <w:bCs/>
          <w:color w:val="365F91" w:themeColor="accent1" w:themeShade="BF"/>
          <w:sz w:val="22"/>
          <w:szCs w:val="22"/>
        </w:rPr>
        <w:t>Fatehgarh</w:t>
      </w:r>
      <w:proofErr w:type="spellEnd"/>
      <w:r w:rsidR="00243CE9" w:rsidRPr="00243CE9">
        <w:rPr>
          <w:rFonts w:ascii="Book Antiqua" w:hAnsi="Book Antiqua" w:cs="Arial"/>
          <w:b/>
          <w:bCs/>
          <w:color w:val="365F91" w:themeColor="accent1" w:themeShade="BF"/>
          <w:sz w:val="22"/>
          <w:szCs w:val="22"/>
        </w:rPr>
        <w:t xml:space="preserve">-II PS, </w:t>
      </w:r>
      <w:proofErr w:type="spellStart"/>
      <w:r w:rsidR="00243CE9" w:rsidRPr="00243CE9">
        <w:rPr>
          <w:rFonts w:ascii="Book Antiqua" w:hAnsi="Book Antiqua" w:cs="Arial"/>
          <w:b/>
          <w:bCs/>
          <w:color w:val="365F91" w:themeColor="accent1" w:themeShade="BF"/>
          <w:sz w:val="22"/>
          <w:szCs w:val="22"/>
        </w:rPr>
        <w:t>Fatehgarh</w:t>
      </w:r>
      <w:proofErr w:type="spellEnd"/>
      <w:r w:rsidR="00243CE9" w:rsidRPr="00243CE9">
        <w:rPr>
          <w:rFonts w:ascii="Book Antiqua" w:hAnsi="Book Antiqua" w:cs="Arial"/>
          <w:b/>
          <w:bCs/>
          <w:color w:val="365F91" w:themeColor="accent1" w:themeShade="BF"/>
          <w:sz w:val="22"/>
          <w:szCs w:val="22"/>
        </w:rPr>
        <w:t>-IV PS (Sec-II) and Barmer-I PS</w:t>
      </w:r>
      <w:r w:rsidRPr="00BA5A07">
        <w:rPr>
          <w:rFonts w:ascii="Book Antiqua" w:hAnsi="Book Antiqua" w:cs="Arial"/>
          <w:b/>
          <w:bCs/>
          <w:color w:val="365F91" w:themeColor="accent1" w:themeShade="BF"/>
          <w:sz w:val="22"/>
          <w:szCs w:val="22"/>
        </w:rPr>
        <w:t>”</w:t>
      </w:r>
      <w:r w:rsidR="00243CE9">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3F7AC1C0"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CTUIL/IE/2025-26/7</w:t>
      </w:r>
      <w:r w:rsidR="00243CE9">
        <w:rPr>
          <w:rFonts w:ascii="Book Antiqua" w:hAnsi="Book Antiqua" w:cs="Arial"/>
          <w:b/>
          <w:bCs/>
          <w:color w:val="365F91" w:themeColor="accent1" w:themeShade="BF"/>
          <w:sz w:val="22"/>
          <w:szCs w:val="22"/>
        </w:rPr>
        <w:t>8</w:t>
      </w:r>
      <w:r w:rsidR="009A2B5D">
        <w:rPr>
          <w:rFonts w:ascii="Book Antiqua" w:hAnsi="Book Antiqua" w:cs="Arial"/>
          <w:b/>
          <w:bCs/>
          <w:color w:val="365F91" w:themeColor="accent1" w:themeShade="BF"/>
          <w:sz w:val="22"/>
          <w:szCs w:val="22"/>
        </w:rPr>
        <w:t>/R1</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p>
    <w:p w14:paraId="65F171DA" w14:textId="4281C965"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198061BB"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1F4AD5" w:rsidRPr="001F4AD5">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6F7B913B" w14:textId="77777777" w:rsidR="001F4AD5" w:rsidRDefault="001F4AD5" w:rsidP="008C1547">
      <w:pPr>
        <w:ind w:left="1134" w:hanging="1003"/>
        <w:jc w:val="both"/>
        <w:rPr>
          <w:rFonts w:ascii="Book Antiqua" w:hAnsi="Book Antiqua"/>
          <w:sz w:val="22"/>
          <w:szCs w:val="22"/>
        </w:rPr>
      </w:pPr>
    </w:p>
    <w:p w14:paraId="0C4958E5"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 xml:space="preserve">Note: </w:t>
      </w:r>
    </w:p>
    <w:p w14:paraId="74E3F193" w14:textId="77777777" w:rsidR="0067156D" w:rsidRPr="0067156D" w:rsidRDefault="0067156D" w:rsidP="0067156D">
      <w:pPr>
        <w:ind w:left="1134" w:hanging="1003"/>
        <w:jc w:val="both"/>
        <w:rPr>
          <w:rFonts w:ascii="Book Antiqua" w:hAnsi="Book Antiqua"/>
          <w:sz w:val="22"/>
          <w:szCs w:val="22"/>
        </w:rPr>
      </w:pPr>
    </w:p>
    <w:p w14:paraId="67B790EE"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w:t>
      </w:r>
      <w:proofErr w:type="spellStart"/>
      <w:r w:rsidRPr="0067156D">
        <w:rPr>
          <w:rFonts w:ascii="Book Antiqua" w:hAnsi="Book Antiqua"/>
          <w:sz w:val="22"/>
          <w:szCs w:val="22"/>
        </w:rPr>
        <w:t>i</w:t>
      </w:r>
      <w:proofErr w:type="spellEnd"/>
      <w:r w:rsidRPr="0067156D">
        <w:rPr>
          <w:rFonts w:ascii="Book Antiqua" w:hAnsi="Book Antiqua"/>
          <w:sz w:val="22"/>
          <w:szCs w:val="22"/>
        </w:rPr>
        <w:t>)</w:t>
      </w:r>
      <w:r w:rsidRPr="0067156D">
        <w:rPr>
          <w:rFonts w:ascii="Book Antiqua" w:hAnsi="Book Antiqua"/>
          <w:sz w:val="22"/>
          <w:szCs w:val="22"/>
        </w:rPr>
        <w:tab/>
        <w:t xml:space="preserve">Bidder shall be considered non-responsive in Techno-commercial bid evaluation if they fail to meet the criteria mentioned at cl. 2.6.0 above as on the originally </w:t>
      </w:r>
      <w:proofErr w:type="gramStart"/>
      <w:r w:rsidRPr="0067156D">
        <w:rPr>
          <w:rFonts w:ascii="Book Antiqua" w:hAnsi="Book Antiqua"/>
          <w:sz w:val="22"/>
          <w:szCs w:val="22"/>
        </w:rPr>
        <w:t>schedule</w:t>
      </w:r>
      <w:proofErr w:type="gramEnd"/>
      <w:r w:rsidRPr="0067156D">
        <w:rPr>
          <w:rFonts w:ascii="Book Antiqua" w:hAnsi="Book Antiqua"/>
          <w:sz w:val="22"/>
          <w:szCs w:val="22"/>
        </w:rPr>
        <w:t xml:space="preserve"> date of bid submission.</w:t>
      </w:r>
    </w:p>
    <w:p w14:paraId="083FF679" w14:textId="77777777" w:rsidR="0067156D" w:rsidRPr="0067156D" w:rsidRDefault="0067156D" w:rsidP="0067156D">
      <w:pPr>
        <w:ind w:left="1134" w:hanging="1003"/>
        <w:jc w:val="both"/>
        <w:rPr>
          <w:rFonts w:ascii="Book Antiqua" w:hAnsi="Book Antiqua"/>
          <w:sz w:val="22"/>
          <w:szCs w:val="22"/>
        </w:rPr>
      </w:pPr>
    </w:p>
    <w:p w14:paraId="18DF24AD"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w:t>
      </w:r>
      <w:r w:rsidRPr="0067156D">
        <w:rPr>
          <w:rFonts w:ascii="Book Antiqua" w:hAnsi="Book Antiqua"/>
          <w:sz w:val="22"/>
          <w:szCs w:val="22"/>
        </w:rPr>
        <w:tab/>
        <w:t xml:space="preserve">Further, the criteria mentioned at cl. 2.6.0 will also be evaluated before the opening of the price bid </w:t>
      </w:r>
      <w:proofErr w:type="gramStart"/>
      <w:r w:rsidRPr="0067156D">
        <w:rPr>
          <w:rFonts w:ascii="Book Antiqua" w:hAnsi="Book Antiqua"/>
          <w:sz w:val="22"/>
          <w:szCs w:val="22"/>
        </w:rPr>
        <w:t>of</w:t>
      </w:r>
      <w:proofErr w:type="gramEnd"/>
      <w:r w:rsidRPr="0067156D">
        <w:rPr>
          <w:rFonts w:ascii="Book Antiqua" w:hAnsi="Book Antiqua"/>
          <w:sz w:val="22"/>
          <w:szCs w:val="22"/>
        </w:rPr>
        <w:t xml:space="preserve"> the subject package. The price bid of any bidder who does not meet the criteria mentioned at cl. 2.6.0 will not be opened, and their bid shall be considered non-responsive.</w:t>
      </w:r>
    </w:p>
    <w:p w14:paraId="438EB479" w14:textId="77777777" w:rsidR="0067156D" w:rsidRPr="0067156D" w:rsidRDefault="0067156D" w:rsidP="0067156D">
      <w:pPr>
        <w:ind w:left="1134" w:hanging="1003"/>
        <w:jc w:val="both"/>
        <w:rPr>
          <w:rFonts w:ascii="Book Antiqua" w:hAnsi="Book Antiqua"/>
          <w:sz w:val="22"/>
          <w:szCs w:val="22"/>
        </w:rPr>
      </w:pPr>
    </w:p>
    <w:p w14:paraId="54AE6591"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(iii)</w:t>
      </w:r>
      <w:r w:rsidRPr="0067156D">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67156D" w:rsidRDefault="0067156D" w:rsidP="0067156D">
      <w:pPr>
        <w:ind w:left="1134" w:hanging="1003"/>
        <w:jc w:val="both"/>
        <w:rPr>
          <w:rFonts w:ascii="Book Antiqua" w:hAnsi="Book Antiqua"/>
          <w:sz w:val="22"/>
          <w:szCs w:val="22"/>
        </w:rPr>
      </w:pPr>
    </w:p>
    <w:p w14:paraId="1D0281BA" w14:textId="434F8697" w:rsidR="001F4AD5" w:rsidRPr="00BD6B1F" w:rsidRDefault="0067156D" w:rsidP="0067156D">
      <w:pPr>
        <w:ind w:left="1134" w:hanging="1003"/>
        <w:jc w:val="both"/>
        <w:rPr>
          <w:rFonts w:ascii="Book Antiqua" w:hAnsi="Book Antiqua"/>
          <w:sz w:val="22"/>
          <w:szCs w:val="22"/>
        </w:rPr>
      </w:pPr>
      <w:r w:rsidRPr="0067156D">
        <w:rPr>
          <w:rFonts w:ascii="Book Antiqua" w:hAnsi="Book Antiqua"/>
          <w:sz w:val="22"/>
          <w:szCs w:val="22"/>
        </w:rPr>
        <w:t>(iv)</w:t>
      </w:r>
      <w:r w:rsidRPr="0067156D">
        <w:rPr>
          <w:rFonts w:ascii="Book Antiqua" w:hAnsi="Book Antiqua"/>
          <w:sz w:val="22"/>
          <w:szCs w:val="22"/>
        </w:rPr>
        <w:tab/>
      </w:r>
      <w:r w:rsidR="00C31A25" w:rsidRPr="00C31A25">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t>
      </w:r>
      <w:r w:rsidRPr="00D96D43">
        <w:rPr>
          <w:rFonts w:ascii="Book Antiqua" w:hAnsi="Book Antiqua" w:cs="Arial"/>
          <w:color w:val="000000"/>
          <w:sz w:val="22"/>
          <w:szCs w:val="22"/>
        </w:rPr>
        <w:lastRenderedPageBreak/>
        <w:t xml:space="preserve">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lastRenderedPageBreak/>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lastRenderedPageBreak/>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w:t>
      </w:r>
      <w:r w:rsidR="005E21DA" w:rsidRPr="00FC0343">
        <w:rPr>
          <w:rFonts w:ascii="Book Antiqua" w:hAnsi="Book Antiqua" w:cs="Arial"/>
          <w:sz w:val="22"/>
          <w:szCs w:val="22"/>
        </w:rPr>
        <w:lastRenderedPageBreak/>
        <w:t xml:space="preserve">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w:t>
      </w:r>
      <w:r w:rsidRPr="007C118A">
        <w:rPr>
          <w:rStyle w:val="Strong"/>
          <w:rFonts w:ascii="Book Antiqua" w:hAnsi="Book Antiqua" w:cs="Arial"/>
        </w:rPr>
        <w:lastRenderedPageBreak/>
        <w:t xml:space="preserve">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w:t>
      </w:r>
      <w:r>
        <w:rPr>
          <w:rFonts w:ascii="Book Antiqua" w:hAnsi="Book Antiqua" w:cs="Arial"/>
          <w:sz w:val="22"/>
          <w:szCs w:val="22"/>
        </w:rPr>
        <w:lastRenderedPageBreak/>
        <w:t xml:space="preserve">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w:t>
      </w:r>
      <w:r w:rsidR="00751AFB" w:rsidRPr="00FC0343">
        <w:rPr>
          <w:rFonts w:ascii="Book Antiqua" w:hAnsi="Book Antiqua" w:cs="Arial"/>
          <w:sz w:val="22"/>
          <w:szCs w:val="22"/>
        </w:rPr>
        <w:lastRenderedPageBreak/>
        <w:t xml:space="preserve">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w:t>
      </w:r>
      <w:r w:rsidR="0023571F" w:rsidRPr="00342F19">
        <w:rPr>
          <w:rStyle w:val="Hyperlink"/>
          <w:rFonts w:ascii="Book Antiqua" w:eastAsia="Batang" w:hAnsi="Book Antiqua" w:cs="Arial"/>
          <w:sz w:val="22"/>
          <w:szCs w:val="22"/>
          <w:u w:val="none"/>
        </w:rPr>
        <w:lastRenderedPageBreak/>
        <w:t xml:space="preserve">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w:t>
      </w:r>
      <w:r>
        <w:rPr>
          <w:rFonts w:ascii="Book Antiqua" w:hAnsi="Book Antiqua" w:cs="Arial"/>
          <w:sz w:val="22"/>
          <w:szCs w:val="22"/>
        </w:rPr>
        <w:lastRenderedPageBreak/>
        <w:t xml:space="preserve">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lastRenderedPageBreak/>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w:t>
      </w:r>
      <w:r w:rsidRPr="007C0FE9">
        <w:rPr>
          <w:rFonts w:ascii="Book Antiqua" w:hAnsi="Book Antiqua" w:cs="Arial"/>
          <w:sz w:val="22"/>
          <w:szCs w:val="22"/>
        </w:rPr>
        <w:lastRenderedPageBreak/>
        <w:t>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w:t>
      </w:r>
      <w:r w:rsidRPr="007C0FE9">
        <w:rPr>
          <w:rFonts w:ascii="Book Antiqua" w:hAnsi="Book Antiqua" w:cs="Arial"/>
          <w:sz w:val="22"/>
          <w:szCs w:val="22"/>
        </w:rPr>
        <w:lastRenderedPageBreak/>
        <w:t>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lastRenderedPageBreak/>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lastRenderedPageBreak/>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03793" w14:textId="77777777" w:rsidR="005E6EE7" w:rsidRDefault="005E6EE7" w:rsidP="003E7F85">
      <w:r>
        <w:separator/>
      </w:r>
    </w:p>
  </w:endnote>
  <w:endnote w:type="continuationSeparator" w:id="0">
    <w:p w14:paraId="6FE0A380" w14:textId="77777777" w:rsidR="005E6EE7" w:rsidRDefault="005E6EE7" w:rsidP="003E7F85">
      <w:r>
        <w:continuationSeparator/>
      </w:r>
    </w:p>
  </w:endnote>
  <w:endnote w:type="continuationNotice" w:id="1">
    <w:p w14:paraId="061C21E8" w14:textId="77777777" w:rsidR="005E6EE7" w:rsidRDefault="005E6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F509F" w14:textId="77777777" w:rsidR="005E6EE7" w:rsidRDefault="005E6EE7" w:rsidP="003E7F85">
      <w:r>
        <w:separator/>
      </w:r>
    </w:p>
  </w:footnote>
  <w:footnote w:type="continuationSeparator" w:id="0">
    <w:p w14:paraId="6A8E92C1" w14:textId="77777777" w:rsidR="005E6EE7" w:rsidRDefault="005E6EE7" w:rsidP="003E7F85">
      <w:r>
        <w:continuationSeparator/>
      </w:r>
    </w:p>
  </w:footnote>
  <w:footnote w:type="continuationNotice" w:id="1">
    <w:p w14:paraId="08C93920" w14:textId="77777777" w:rsidR="005E6EE7" w:rsidRDefault="005E6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3CE9"/>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077"/>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000"/>
    <w:rsid w:val="00BF445C"/>
    <w:rsid w:val="00BF653D"/>
    <w:rsid w:val="00BF722D"/>
    <w:rsid w:val="00C0154B"/>
    <w:rsid w:val="00C02778"/>
    <w:rsid w:val="00C02BB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6073</TotalTime>
  <Pages>43</Pages>
  <Words>16062</Words>
  <Characters>91555</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107403</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388</cp:revision>
  <cp:lastPrinted>2025-08-27T09:43:00Z</cp:lastPrinted>
  <dcterms:created xsi:type="dcterms:W3CDTF">2022-07-12T08:01:00Z</dcterms:created>
  <dcterms:modified xsi:type="dcterms:W3CDTF">2025-08-27T09:43:00Z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